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A" w:rsidRPr="002D0E4A" w:rsidRDefault="002D0E4A">
      <w:pPr>
        <w:pStyle w:val="ConsPlusNormal"/>
        <w:jc w:val="right"/>
        <w:outlineLvl w:val="1"/>
      </w:pPr>
      <w:r w:rsidRPr="002D0E4A">
        <w:t>Приложение 20</w:t>
      </w:r>
    </w:p>
    <w:p w:rsidR="002D0E4A" w:rsidRPr="002D0E4A" w:rsidRDefault="002D0E4A">
      <w:pPr>
        <w:pStyle w:val="ConsPlusNormal"/>
        <w:jc w:val="right"/>
      </w:pPr>
      <w:r w:rsidRPr="002D0E4A">
        <w:t>к Программе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Title"/>
        <w:jc w:val="center"/>
      </w:pPr>
      <w:bookmarkStart w:id="0" w:name="P21383"/>
      <w:bookmarkEnd w:id="0"/>
      <w:r w:rsidRPr="002D0E4A">
        <w:t>ЦЕЛЕВЫЕ ЗНАЧЕНИЯ</w:t>
      </w:r>
    </w:p>
    <w:p w:rsidR="002D0E4A" w:rsidRPr="002D0E4A" w:rsidRDefault="002D0E4A">
      <w:pPr>
        <w:pStyle w:val="ConsPlusTitle"/>
        <w:jc w:val="center"/>
      </w:pPr>
      <w:r w:rsidRPr="002D0E4A">
        <w:t>КРИТЕРИЕВ ДОСТУПНОСТИ И КАЧЕСТВА МЕДИЦИНСКОЙ ПОМОЩИ,</w:t>
      </w:r>
    </w:p>
    <w:p w:rsidR="002D0E4A" w:rsidRPr="002D0E4A" w:rsidRDefault="002D0E4A">
      <w:pPr>
        <w:pStyle w:val="ConsPlusTitle"/>
        <w:jc w:val="center"/>
      </w:pPr>
      <w:r w:rsidRPr="002D0E4A">
        <w:t>ОКАЗЫВАЕМОЙ В РАМКАХ ПРОГРАММЫ</w:t>
      </w:r>
    </w:p>
    <w:p w:rsidR="002D0E4A" w:rsidRPr="002D0E4A" w:rsidRDefault="002D0E4A">
      <w:pPr>
        <w:pStyle w:val="ConsPlusNormal"/>
        <w:jc w:val="both"/>
      </w:pPr>
    </w:p>
    <w:p w:rsidR="002D0E4A" w:rsidRPr="002D0E4A" w:rsidRDefault="002D0E4A">
      <w:pPr>
        <w:pStyle w:val="ConsPlusNormal"/>
        <w:ind w:firstLine="540"/>
        <w:jc w:val="both"/>
      </w:pPr>
      <w:r w:rsidRPr="002D0E4A">
        <w:t>Целевые значения критериев доступности медицинской помощи: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удовлетворенность населения доступностью медицинской помощи, в том числе городского и сельского населения (процентов от числа опрошенных): 2025 год - 62,0%, в том числе городского населения - 62,0%, сельского населения - 52,0%; 2026 год - 62,0%, в том числе городского населения - 62,0%, сельского населения - 52,0%; 2027 год - 62,0%, в том числе городского населения - 62,0%, сельского населения - 52,0%;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расходов на оказание медицинской помощи в условиях дневного стационара в общих расходах на Программу: 2025 год - 9,4%; 2026 год - 9,5%; 2027 год - 9,5%;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расходов на оказание медицинской помощи в амбулаторных условиях в неотложной форме в общих расходах на Программу: 2025 год - 2,3%; 2026 год - 2,3%; 2027 год - 2,3%;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на территории Республики Карелия: 2025 год - 4,0%; 2026 год - 4,0%; 2027 год - 4,0%;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населению: 2025 год - 30,0%; 2026 год - 30,0%; 2027 год - 30,0%;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число пациентов, которым оказана паллиативная медицинская помощь по месту их фактического пребывания за пределами Республики Карелия, на территории которого указанные пациенты зарегистрированы по месту жительства: 3 человека в 2025 году; 3 человека в 2026 году; 3 человека в 2027 году;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число пациентов, зарегистрированных на территории Республики Карелия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0 человек в 2025 году; 0 человек в 2026 году; 1 человек в 2027 году;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2025 год - 84,7%; 2026 год - 84,7%; 2027 год - 84,7%;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наблюдения: 2025 год - 100,0%; 2026 год - 100,0%; 2027 год - 100,0%;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граждан, обеспеченных лекарственными препаратами, в общем количестве льготных категорий граждан: 2025 год - 41,4%; 2026 год - 41,4%; 2027 год - 41,4%;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крови: 2025 год - 85,5%; 2026 год - 85,5%; 2027 год - 85,5%.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Целевые значения критериев качества медицинской помощи: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2025 год - 1,5%; 2026 год - 1,55%; 2027 год - 1,55%;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впервые выявленных заболеваний при профилактических медицинских осмотрах </w:t>
      </w:r>
      <w:r w:rsidRPr="002D0E4A">
        <w:lastRenderedPageBreak/>
        <w:t>несовершеннолетних в общем количестве впервые в жизни зарегистрированных заболеваний в течение года у несовершеннолетних: 2025 год - 3,5%; 2026 год - 3,5%; 2027 год - 3,5%;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2025 год - 6,5%; 2026 год - 6,5%; 2027 год - 6,5%;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2025 год - 0,3%; 2026 год - 0,3%; 2027 год - 0,3%;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новообразованиями: 2025 год - 100,0%; 2026 год - 100,0%; 2027 год - 100,0%;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миокарда: 2025 год - 81,5%; 2026 год - 81,5%; 2027 год - 81,5%;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пациентов с острым инфарктом миокарда, которым проведено </w:t>
      </w:r>
      <w:proofErr w:type="spellStart"/>
      <w:r w:rsidRPr="002D0E4A">
        <w:t>стентирование</w:t>
      </w:r>
      <w:proofErr w:type="spellEnd"/>
      <w:r w:rsidRPr="002D0E4A">
        <w:t xml:space="preserve"> коронарных артерий, в общем количестве пациентов с острым инфарктом миокарда, имеющих показания к его проведению: 2025 год - 90,0%; 2026 год - 90,0%; 2027 год - 90,0%;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2D0E4A">
        <w:t>тромболизис</w:t>
      </w:r>
      <w:proofErr w:type="spellEnd"/>
      <w:r w:rsidRPr="002D0E4A"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2025 год - 49,0%; 2026 год - 49,0%; 2027 год - 49,0%;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Программой: 2025 год - 50,0%; 2026 год - 50,0%; 2027 год - 50,0%;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болезнями: 2025 год - 14,5%; 2026 год - 14,5%; 2027 год - 14,5%;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пациентов с острым ишемическим инсультом, которым проведена </w:t>
      </w:r>
      <w:proofErr w:type="spellStart"/>
      <w:r w:rsidRPr="002D0E4A">
        <w:t>тромболитическая</w:t>
      </w:r>
      <w:proofErr w:type="spellEnd"/>
      <w:r w:rsidRPr="002D0E4A"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заболевания: 2025 год - 8,5%; 2026 год - 8,5%; 2027 год - 8,5%;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пациентов с острым ишемическим инсультом, которым проведена </w:t>
      </w:r>
      <w:proofErr w:type="spellStart"/>
      <w:r w:rsidRPr="002D0E4A">
        <w:t>тромболитическая</w:t>
      </w:r>
      <w:proofErr w:type="spellEnd"/>
      <w:r w:rsidRPr="002D0E4A"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центры: 2025 год - 8,0%; 2026 год - 8,0%; 2027 год - 8,0%;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помощи: 2025 год - 80,0%; 2026 год - 80,0%; 2027 год - 80,0%;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получающих лечебное (</w:t>
      </w:r>
      <w:proofErr w:type="spellStart"/>
      <w:r w:rsidRPr="002D0E4A">
        <w:t>энтеральное</w:t>
      </w:r>
      <w:proofErr w:type="spellEnd"/>
      <w:r w:rsidRPr="002D0E4A">
        <w:t>) питание в рамках оказания паллиативной медицинской помощи, в общем количестве пациентов, нуждающихся в лечебном (</w:t>
      </w:r>
      <w:proofErr w:type="spellStart"/>
      <w:r w:rsidRPr="002D0E4A">
        <w:t>энтеральном</w:t>
      </w:r>
      <w:proofErr w:type="spellEnd"/>
      <w:r w:rsidRPr="002D0E4A">
        <w:t>) питании при оказании паллиативной медицинской помощи: 2025 год - 26,0%; 2026 год - 26,0%; 2027 год - 26,0%;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лиц репродуктивного возраста, прошедших диспансеризацию для оценки репродуктивного здоровья женщин и мужчин: 2025 год - 35,0%; 2026 год - 35,0%; 2027 год - 35,0%, в том числе женщин: 2025 год - 34,6%; 2026 год - 34,6%; 2027 год - 34,6%, мужчин: 2025 год - 33,6%; 2026 год - 33,6%; 2027 год - 33,6%;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бесплодие": 2025 год - 100,0%; 2026 год - 100,0%; 2027 год - 100,0%;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lastRenderedPageBreak/>
        <w:t>число циклов экстракорпорального оплодотворения, выполняемых медицинской организацией, в течение одного года: 100 единиц в 2025 году; 100 единиц в 2026 году; 100 единиц в 2027 году;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случаев экстракорпорального оплодотворения, по результатам которого у женщины наступила беременность: 2025 год - 32,0%; 2026 год - 32,0%; 2027 год - 32,0%;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эмбрионов): 2025 год - 34,0%; 2026 год - 35,0%; 2027 год - 35,0%;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программы: 3 единицы в 2025 году; 3 единицы в 2026 году; 3 единицы в 2027 году;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охват диспансерным наблюдением граждан, состоящих на учете в медицинской организации с диагнозом "бронхиальная астма": 2025 год - 80,0%; 2026 год - 85,0%; 2027 год - 90,0%;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охват диспансерным наблюдением граждан, состоящих на учете в медицинской организации с диагнозом "хроническая обструктивная болезнь легких": 2025 год - 50,0%; 2026 год - 60,0%; 2027 год - 70,0%;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обеспечение: 2025 год - 80,0%; 2026 год - 90,0%; 2027 год - 95,0%;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охват диспансерным наблюдением граждан, состоящих на учете в медицинской организации с диагнозом "гипертоническая болезнь": 2025 год - 80,0%; 2026 год - 90,0%; 2027 год - 95,0%;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охват диспансерным наблюдением граждан, состоящих на учете в медицинской организации с диагнозом "сахарный диабет": 2025 год - 100,0%; 2026 год - 100,0%; 2027 год - 100,0%;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количество пациентов с гепатитом C, получивших противовирусную терапию, на 100 тыс. населения в год: 11,7 случая в 2025 году; 11,7 случая в 2026 году; 11,7 случая в 2027 году;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ветеранов боевых действий, получивших паллиативную медицинскую помощь и (или) лечебное (</w:t>
      </w:r>
      <w:proofErr w:type="spellStart"/>
      <w:r w:rsidRPr="002D0E4A">
        <w:t>энтеральное</w:t>
      </w:r>
      <w:proofErr w:type="spellEnd"/>
      <w:r w:rsidRPr="002D0E4A">
        <w:t>) питание, из числа нуждающихся: 2025 год - 100,0%; 2026 год - 100,0%; 2027 год - 100,0%;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диагноза: 2025 год - 15,0%; 2026 год - 15,0%; 2027 год - 15,0%;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лиц старше 65 лет, которым проведена </w:t>
      </w:r>
      <w:proofErr w:type="spellStart"/>
      <w:r w:rsidRPr="002D0E4A">
        <w:t>противопневмококковая</w:t>
      </w:r>
      <w:proofErr w:type="spellEnd"/>
      <w:r w:rsidRPr="002D0E4A">
        <w:t xml:space="preserve"> вакцинация (13-валентной и/или 23-валентной вакциной): 2025 год - 15,0%; 2026 год - 15,0%; 2027 год - 15,0%;</w:t>
      </w:r>
    </w:p>
    <w:p w:rsidR="002D0E4A" w:rsidRPr="002D0E4A" w:rsidRDefault="002D0E4A">
      <w:pPr>
        <w:pStyle w:val="ConsPlusNormal"/>
        <w:spacing w:before="200"/>
        <w:ind w:firstLine="540"/>
        <w:jc w:val="both"/>
      </w:pPr>
      <w:r w:rsidRPr="002D0E4A">
        <w:t xml:space="preserve">доля пациентов с острым инфарктом миокарда, которым проведена </w:t>
      </w:r>
      <w:proofErr w:type="spellStart"/>
      <w:r w:rsidRPr="002D0E4A">
        <w:t>тромболитическая</w:t>
      </w:r>
      <w:proofErr w:type="spellEnd"/>
      <w:r w:rsidRPr="002D0E4A">
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проведению: 2025 год - 75,0%; 2026 год - 75,0%; 2027 год - 75,0%.</w:t>
      </w:r>
    </w:p>
    <w:p w:rsidR="002D0E4A" w:rsidRPr="002D0E4A" w:rsidRDefault="002D0E4A">
      <w:pPr>
        <w:pStyle w:val="ConsPlusNormal"/>
        <w:jc w:val="both"/>
      </w:pPr>
      <w:bookmarkStart w:id="1" w:name="_GoBack"/>
      <w:bookmarkEnd w:id="1"/>
    </w:p>
    <w:sectPr w:rsidR="002D0E4A" w:rsidRPr="002D0E4A" w:rsidSect="00C6440A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4A"/>
    <w:rsid w:val="0004656A"/>
    <w:rsid w:val="001E3466"/>
    <w:rsid w:val="001F408F"/>
    <w:rsid w:val="002402FD"/>
    <w:rsid w:val="002D0E4A"/>
    <w:rsid w:val="00501799"/>
    <w:rsid w:val="005233B6"/>
    <w:rsid w:val="005528AF"/>
    <w:rsid w:val="0057779D"/>
    <w:rsid w:val="00583C68"/>
    <w:rsid w:val="00654C8C"/>
    <w:rsid w:val="006F55B9"/>
    <w:rsid w:val="00775A44"/>
    <w:rsid w:val="00852FAA"/>
    <w:rsid w:val="0087156E"/>
    <w:rsid w:val="008F314F"/>
    <w:rsid w:val="00915FDD"/>
    <w:rsid w:val="00986959"/>
    <w:rsid w:val="00A455F8"/>
    <w:rsid w:val="00A66318"/>
    <w:rsid w:val="00AA7610"/>
    <w:rsid w:val="00B04EAA"/>
    <w:rsid w:val="00BC5217"/>
    <w:rsid w:val="00C6440A"/>
    <w:rsid w:val="00EC703F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9D6F"/>
  <w15:chartTrackingRefBased/>
  <w15:docId w15:val="{24EBFCE3-7183-4AA6-A57E-17DEEB95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0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0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0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2025-01-17T06:34:00Z</dcterms:created>
  <dcterms:modified xsi:type="dcterms:W3CDTF">2025-01-17T06:34:00Z</dcterms:modified>
</cp:coreProperties>
</file>